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5B873583" w:rsidR="00F20995" w:rsidRPr="006207FB" w:rsidRDefault="00460272"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Číslo smlouvy kupujícího:</w:t>
      </w:r>
      <w:r w:rsidR="00F20995"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063CFE71" w:rsidR="00F20995" w:rsidRDefault="00460272" w:rsidP="0068187B">
      <w:pPr>
        <w:widowControl w:val="0"/>
        <w:overflowPunct w:val="0"/>
        <w:autoSpaceDE w:val="0"/>
        <w:autoSpaceDN w:val="0"/>
        <w:adjustRightInd w:val="0"/>
        <w:spacing w:after="0" w:line="276" w:lineRule="auto"/>
        <w:jc w:val="both"/>
        <w:textAlignment w:val="baseline"/>
        <w:rPr>
          <w:rFonts w:ascii="Verdana" w:hAnsi="Verdana"/>
        </w:rPr>
      </w:pPr>
      <w:r>
        <w:rPr>
          <w:rFonts w:eastAsia="Times New Roman" w:cs="Times New Roman"/>
          <w:b/>
          <w:highlight w:val="yellow"/>
          <w:lang w:eastAsia="cs-CZ"/>
        </w:rPr>
        <w:t>Číslo smlouvy prodávajícího:</w:t>
      </w:r>
      <w:r w:rsidR="00F20995"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AA89BA5" w:rsidR="00EE2021" w:rsidRDefault="00460272" w:rsidP="00EE2021">
      <w:pPr>
        <w:pStyle w:val="Podnadpissmlouvy"/>
      </w:pPr>
      <w:r w:rsidRPr="00460272">
        <w:t>S</w:t>
      </w:r>
      <w:r>
        <w:t>UBISPROFOND</w:t>
      </w:r>
      <w:r w:rsidRPr="00460272">
        <w:t>: 5003540085</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47E957DB" w:rsidR="00D85C5B" w:rsidRPr="006207FB" w:rsidRDefault="00460272" w:rsidP="00FA482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Pr>
          <w:rFonts w:eastAsia="Times New Roman" w:cs="Times New Roman"/>
          <w:highlight w:val="yellow"/>
          <w:lang w:eastAsia="cs-CZ"/>
        </w:rPr>
        <w:t>IČ ……………………</w:t>
      </w:r>
      <w:r w:rsidR="00D85C5B" w:rsidRPr="006207FB">
        <w:rPr>
          <w:rFonts w:eastAsia="Times New Roman" w:cs="Times New Roman"/>
          <w:highlight w:val="yellow"/>
          <w:lang w:eastAsia="cs-CZ"/>
        </w:rPr>
        <w:t>,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97FDD45" w14:textId="5E8855C8" w:rsidR="00EF5929" w:rsidRDefault="00717E19" w:rsidP="0068187B">
      <w:pPr>
        <w:widowControl w:val="0"/>
        <w:spacing w:line="276" w:lineRule="auto"/>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460272">
        <w:rPr>
          <w:rFonts w:eastAsia="Times New Roman" w:cs="Times New Roman"/>
          <w:b/>
          <w:lang w:eastAsia="cs-CZ"/>
        </w:rPr>
        <w:t>„</w:t>
      </w:r>
      <w:r w:rsidR="00460272" w:rsidRPr="00460272">
        <w:rPr>
          <w:rFonts w:ascii="Verdana" w:eastAsia="Times New Roman" w:hAnsi="Verdana" w:cs="Times New Roman"/>
          <w:b/>
          <w:bCs/>
          <w:lang w:eastAsia="cs-CZ"/>
        </w:rPr>
        <w:t>Nákup sloupového zvedáku pro OŘ PHA 2024</w:t>
      </w:r>
      <w:r w:rsidRPr="00460272">
        <w:rPr>
          <w:rFonts w:eastAsia="Times New Roman" w:cs="Times New Roman"/>
          <w:b/>
          <w:lang w:eastAsia="cs-CZ"/>
        </w:rPr>
        <w:t>“</w:t>
      </w:r>
      <w:r w:rsidRPr="006062F9">
        <w:rPr>
          <w:rFonts w:eastAsia="Times New Roman" w:cs="Times New Roman"/>
          <w:lang w:eastAsia="cs-CZ"/>
        </w:rPr>
        <w:t xml:space="preserve">, č. j. veřejné zakázky: </w:t>
      </w:r>
      <w:r w:rsidR="00D201FA">
        <w:rPr>
          <w:rFonts w:eastAsia="Times New Roman" w:cs="Times New Roman"/>
          <w:lang w:eastAsia="cs-CZ"/>
        </w:rPr>
        <w:t>31064</w:t>
      </w:r>
      <w:r w:rsidR="00460272" w:rsidRPr="00460272">
        <w:rPr>
          <w:rFonts w:eastAsia="Times New Roman" w:cs="Times New Roman"/>
          <w:lang w:eastAsia="cs-CZ"/>
        </w:rPr>
        <w:t>/2024-SŽ-OŘ PHA-OVZ</w:t>
      </w:r>
      <w:r w:rsidR="00460272">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50FD3425" w14:textId="77777777" w:rsidR="00D85C5B" w:rsidRDefault="00D85C5B" w:rsidP="00C7097F">
      <w:pPr>
        <w:pStyle w:val="Nadpis1"/>
        <w:numPr>
          <w:ilvl w:val="0"/>
          <w:numId w:val="23"/>
        </w:numPr>
        <w:spacing w:before="120" w:after="120" w:line="276" w:lineRule="auto"/>
        <w:jc w:val="both"/>
      </w:pPr>
      <w:r w:rsidRPr="00116413">
        <w:lastRenderedPageBreak/>
        <w:t>Předmět koupě (přesná specifikace)</w:t>
      </w:r>
    </w:p>
    <w:p w14:paraId="1CC662D5" w14:textId="7509BD17" w:rsidR="00D85C5B" w:rsidRPr="00AC4327"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EF5929">
        <w:rPr>
          <w:lang w:eastAsia="cs-CZ"/>
        </w:rPr>
        <w:t>Předmětem</w:t>
      </w:r>
      <w:r w:rsidRPr="00460272">
        <w:rPr>
          <w:rFonts w:eastAsia="Times New Roman" w:cs="Times New Roman"/>
          <w:lang w:eastAsia="cs-CZ"/>
        </w:rPr>
        <w:t xml:space="preserve"> koupě je </w:t>
      </w:r>
      <w:r w:rsidR="00AE1EA3">
        <w:rPr>
          <w:rFonts w:eastAsia="Times New Roman" w:cs="Times New Roman"/>
          <w:lang w:eastAsia="cs-CZ"/>
        </w:rPr>
        <w:t>sloupový zvedák</w:t>
      </w:r>
      <w:r w:rsidR="00460272" w:rsidRPr="00460272">
        <w:rPr>
          <w:rFonts w:eastAsia="Times New Roman" w:cs="Times New Roman"/>
          <w:lang w:eastAsia="cs-CZ"/>
        </w:rPr>
        <w:t xml:space="preserve"> a odborné proškolení </w:t>
      </w:r>
      <w:r w:rsidR="000A2B06">
        <w:rPr>
          <w:rFonts w:eastAsia="Times New Roman" w:cs="Times New Roman"/>
          <w:lang w:eastAsia="cs-CZ"/>
        </w:rPr>
        <w:t>obsluhy objednatele</w:t>
      </w:r>
      <w:r w:rsidR="00460272" w:rsidRPr="00460272">
        <w:rPr>
          <w:rFonts w:eastAsia="Times New Roman" w:cs="Times New Roman"/>
          <w:lang w:eastAsia="cs-CZ"/>
        </w:rPr>
        <w:t>.</w:t>
      </w:r>
    </w:p>
    <w:p w14:paraId="01CA54BB" w14:textId="354DFFF5" w:rsidR="00D85C5B" w:rsidRPr="00460272"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EF5929">
        <w:rPr>
          <w:lang w:eastAsia="cs-CZ"/>
        </w:rPr>
        <w:t>Přesná</w:t>
      </w:r>
      <w:r w:rsidRPr="00460272">
        <w:rPr>
          <w:rFonts w:eastAsia="Times New Roman" w:cs="Times New Roman"/>
          <w:lang w:eastAsia="cs-CZ"/>
        </w:rPr>
        <w:t xml:space="preserve"> specifikace je uvedena v příloze č. </w:t>
      </w:r>
      <w:r w:rsidR="00460272" w:rsidRPr="00460272">
        <w:rPr>
          <w:rFonts w:eastAsia="Times New Roman" w:cs="Times New Roman"/>
          <w:lang w:eastAsia="cs-CZ"/>
        </w:rPr>
        <w:t xml:space="preserve">2 </w:t>
      </w:r>
      <w:r w:rsidRPr="00460272">
        <w:rPr>
          <w:rFonts w:eastAsia="Times New Roman" w:cs="Times New Roman"/>
          <w:lang w:eastAsia="cs-CZ"/>
        </w:rPr>
        <w:t xml:space="preserve">této </w:t>
      </w:r>
      <w:r w:rsidR="008B1447" w:rsidRPr="00460272">
        <w:rPr>
          <w:rFonts w:eastAsia="Times New Roman" w:cs="Times New Roman"/>
          <w:lang w:eastAsia="cs-CZ"/>
        </w:rPr>
        <w:t>Sml</w:t>
      </w:r>
      <w:r w:rsidRPr="00460272">
        <w:rPr>
          <w:rFonts w:eastAsia="Times New Roman" w:cs="Times New Roman"/>
          <w:lang w:eastAsia="cs-CZ"/>
        </w:rPr>
        <w:t>ouvy.</w:t>
      </w:r>
    </w:p>
    <w:p w14:paraId="4A214B1F" w14:textId="679D6F10" w:rsidR="00D85C5B" w:rsidRPr="00460272"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EF5929">
        <w:rPr>
          <w:lang w:eastAsia="cs-CZ"/>
        </w:rPr>
        <w:t>Předmět</w:t>
      </w:r>
      <w:r w:rsidRPr="00460272">
        <w:rPr>
          <w:rFonts w:eastAsia="Times New Roman" w:cs="Times New Roman"/>
          <w:lang w:eastAsia="cs-CZ"/>
        </w:rPr>
        <w:t xml:space="preserve"> koupě musí splňovat podmínky stanovené právními předpisy, normami ČS</w:t>
      </w:r>
      <w:r w:rsidR="00460272" w:rsidRPr="00460272">
        <w:rPr>
          <w:rFonts w:eastAsia="Times New Roman" w:cs="Times New Roman"/>
          <w:lang w:eastAsia="cs-CZ"/>
        </w:rPr>
        <w:t>N, technickými normami, uvedenými v příloze Č. 2</w:t>
      </w:r>
      <w:r w:rsidRPr="00460272">
        <w:rPr>
          <w:rFonts w:eastAsia="Times New Roman" w:cs="Times New Roman"/>
          <w:lang w:eastAsia="cs-CZ"/>
        </w:rPr>
        <w:t>.</w:t>
      </w:r>
      <w:r w:rsidR="00460272" w:rsidRPr="00460272">
        <w:rPr>
          <w:rFonts w:eastAsia="Times New Roman" w:cs="Times New Roman"/>
          <w:lang w:eastAsia="cs-CZ"/>
        </w:rPr>
        <w:t xml:space="preserve"> </w:t>
      </w:r>
      <w:r w:rsidRPr="00460272">
        <w:rPr>
          <w:rFonts w:eastAsia="Times New Roman" w:cs="Times New Roman"/>
          <w:lang w:eastAsia="cs-CZ"/>
        </w:rPr>
        <w:t xml:space="preserve">této </w:t>
      </w:r>
      <w:r w:rsidR="008B1447" w:rsidRPr="00460272">
        <w:rPr>
          <w:rFonts w:eastAsia="Times New Roman" w:cs="Times New Roman"/>
          <w:lang w:eastAsia="cs-CZ"/>
        </w:rPr>
        <w:t>Sml</w:t>
      </w:r>
      <w:r w:rsidRPr="00460272">
        <w:rPr>
          <w:rFonts w:eastAsia="Times New Roman" w:cs="Times New Roman"/>
          <w:lang w:eastAsia="cs-CZ"/>
        </w:rPr>
        <w:t>ouvy.</w:t>
      </w:r>
    </w:p>
    <w:p w14:paraId="46F1124F" w14:textId="2C1185C9" w:rsidR="00D85C5B" w:rsidRPr="0046027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0272">
        <w:rPr>
          <w:rFonts w:eastAsia="Times New Roman" w:cs="Times New Roman"/>
          <w:lang w:eastAsia="cs-CZ"/>
        </w:rPr>
        <w:t>Jakost ani provedení Předmětu koupě není určeno vzorkem ani předlohou.</w:t>
      </w:r>
    </w:p>
    <w:p w14:paraId="37462DC3" w14:textId="506D93D4" w:rsidR="00E60DBC" w:rsidRDefault="00E60DBC" w:rsidP="00554ACA">
      <w:pPr>
        <w:pStyle w:val="Nadpis1"/>
        <w:numPr>
          <w:ilvl w:val="0"/>
          <w:numId w:val="23"/>
        </w:numPr>
        <w:spacing w:after="120" w:line="276" w:lineRule="auto"/>
        <w:jc w:val="both"/>
        <w:rPr>
          <w:rFonts w:eastAsia="Times New Roman"/>
          <w:lang w:eastAsia="cs-CZ"/>
        </w:rPr>
      </w:pPr>
      <w:r w:rsidRPr="00E60DBC">
        <w:rPr>
          <w:rFonts w:eastAsia="Times New Roman"/>
          <w:lang w:eastAsia="cs-CZ"/>
        </w:rPr>
        <w:t>Kupní cena předmětu koupě</w:t>
      </w:r>
    </w:p>
    <w:p w14:paraId="5E5CE2AD" w14:textId="577357BC" w:rsidR="008B2F5B" w:rsidRPr="008B2F5B" w:rsidRDefault="008B2F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t>Cena předmětu koupě je uvedena v </w:t>
      </w:r>
      <w:r w:rsidRPr="00460272">
        <w:t xml:space="preserve">příloze č. </w:t>
      </w:r>
      <w:r w:rsidR="00460272" w:rsidRPr="00460272">
        <w:rPr>
          <w:rFonts w:eastAsia="Times New Roman" w:cs="Times New Roman"/>
          <w:lang w:eastAsia="cs-CZ"/>
        </w:rPr>
        <w:t>3</w:t>
      </w:r>
      <w:r w:rsidRPr="00460272">
        <w:t xml:space="preserve"> této Smlouvy</w:t>
      </w:r>
      <w:r>
        <w:t>.</w:t>
      </w:r>
    </w:p>
    <w:p w14:paraId="7725C329" w14:textId="7E64CA4F" w:rsidR="00782A52" w:rsidRPr="00460272"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0272">
        <w:rPr>
          <w:rFonts w:eastAsia="Times New Roman" w:cs="Times New Roman"/>
          <w:lang w:eastAsia="cs-CZ"/>
        </w:rPr>
        <w:t xml:space="preserve">Kupní cena bude uhrazena na základě předávacího protokolu podepsaného oběma </w:t>
      </w:r>
      <w:r w:rsidR="008B1447" w:rsidRPr="00460272">
        <w:rPr>
          <w:rFonts w:eastAsia="Times New Roman" w:cs="Times New Roman"/>
          <w:lang w:eastAsia="cs-CZ"/>
        </w:rPr>
        <w:t>Sml</w:t>
      </w:r>
      <w:r w:rsidRPr="00460272">
        <w:rPr>
          <w:rFonts w:eastAsia="Times New Roman" w:cs="Times New Roman"/>
          <w:lang w:eastAsia="cs-CZ"/>
        </w:rPr>
        <w:t>uvními stranami</w:t>
      </w:r>
      <w:r w:rsidR="00460272" w:rsidRPr="00460272">
        <w:rPr>
          <w:rFonts w:eastAsia="Times New Roman" w:cs="Times New Roman"/>
          <w:lang w:eastAsia="cs-CZ"/>
        </w:rPr>
        <w:t xml:space="preserve"> nebo </w:t>
      </w:r>
      <w:r w:rsidR="002B20CA" w:rsidRPr="00460272">
        <w:rPr>
          <w:rFonts w:eastAsia="Times New Roman" w:cs="Times New Roman"/>
          <w:lang w:eastAsia="cs-CZ"/>
        </w:rPr>
        <w:t>dodacího listu.</w:t>
      </w:r>
    </w:p>
    <w:p w14:paraId="70884A3F"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Místo a doba dodání</w:t>
      </w:r>
    </w:p>
    <w:p w14:paraId="37954E98" w14:textId="7899D561" w:rsidR="00D85C5B" w:rsidRPr="00460272" w:rsidRDefault="00460272"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460272">
        <w:rPr>
          <w:rFonts w:eastAsia="Times New Roman" w:cs="Times New Roman"/>
          <w:lang w:eastAsia="cs-CZ"/>
        </w:rPr>
        <w:t>Místo dodání je areál Správy Železnic, státní organizace, Beroun, K Nádraží 139</w:t>
      </w:r>
      <w:r w:rsidR="00717E19" w:rsidRPr="00460272">
        <w:rPr>
          <w:rFonts w:eastAsia="Times New Roman" w:cs="Times New Roman"/>
          <w:lang w:eastAsia="cs-CZ"/>
        </w:rPr>
        <w:t>.</w:t>
      </w:r>
    </w:p>
    <w:p w14:paraId="53B1A76F" w14:textId="4607491E" w:rsidR="00BE2F45" w:rsidRPr="00460272"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0272">
        <w:rPr>
          <w:rFonts w:eastAsia="Times New Roman" w:cs="Times New Roman"/>
          <w:lang w:eastAsia="cs-CZ"/>
        </w:rPr>
        <w:t xml:space="preserve">Předmět koupě bude </w:t>
      </w:r>
      <w:r w:rsidR="00460272" w:rsidRPr="00460272">
        <w:rPr>
          <w:rFonts w:eastAsia="Times New Roman" w:cs="Times New Roman"/>
          <w:lang w:eastAsia="cs-CZ"/>
        </w:rPr>
        <w:t>dodán do 3 měsíců od uveřejnění smlouvy v Registru smluv</w:t>
      </w:r>
      <w:r w:rsidR="00717E19" w:rsidRPr="00460272">
        <w:rPr>
          <w:rFonts w:eastAsia="Times New Roman" w:cs="Times New Roman"/>
          <w:lang w:eastAsia="cs-CZ"/>
        </w:rPr>
        <w:t>.</w:t>
      </w:r>
    </w:p>
    <w:p w14:paraId="4D5A70EC"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C85038"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EF5929">
        <w:rPr>
          <w:lang w:eastAsia="cs-CZ"/>
        </w:rPr>
        <w:t>Pojištění</w:t>
      </w:r>
      <w:r w:rsidRPr="00C85038">
        <w:rPr>
          <w:rFonts w:eastAsia="Times New Roman" w:cs="Times New Roman"/>
          <w:lang w:eastAsia="cs-CZ"/>
        </w:rPr>
        <w:t xml:space="preserve"> se nevyžaduje.</w:t>
      </w:r>
      <w:r w:rsidR="00717E19" w:rsidRPr="00C85038">
        <w:rPr>
          <w:rFonts w:eastAsia="Times New Roman" w:cs="Times New Roman"/>
          <w:lang w:eastAsia="cs-CZ"/>
        </w:rPr>
        <w:t xml:space="preserve"> </w:t>
      </w:r>
    </w:p>
    <w:p w14:paraId="3776C210" w14:textId="77777777" w:rsidR="00D85C5B" w:rsidRPr="00C8503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5038">
        <w:rPr>
          <w:rFonts w:eastAsia="Times New Roman" w:cs="Times New Roman"/>
          <w:lang w:eastAsia="cs-CZ"/>
        </w:rPr>
        <w:t>Speciální balení se nevyžaduje.</w:t>
      </w:r>
    </w:p>
    <w:p w14:paraId="3324C4C2"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Listiny (doklady)</w:t>
      </w:r>
    </w:p>
    <w:p w14:paraId="3F351793" w14:textId="14D2ED36" w:rsidR="00AE4595"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64FCC">
        <w:rPr>
          <w:rFonts w:eastAsia="Times New Roman" w:cs="Times New Roman"/>
          <w:lang w:eastAsia="cs-CZ"/>
        </w:rPr>
        <w:t>Prodávající předá Kupujícímu listiny vztahující se k předmětu koupě</w:t>
      </w:r>
      <w:r w:rsidR="00AC4327">
        <w:rPr>
          <w:rFonts w:eastAsia="Times New Roman" w:cs="Times New Roman"/>
          <w:lang w:eastAsia="cs-CZ"/>
        </w:rPr>
        <w:t>:</w:t>
      </w:r>
    </w:p>
    <w:p w14:paraId="6FCDA1F0" w14:textId="170E0895" w:rsidR="00AC4327" w:rsidRDefault="00AC4327" w:rsidP="00AC4327">
      <w:pPr>
        <w:pStyle w:val="Odstavecseseznamem"/>
        <w:widowControl w:val="0"/>
        <w:numPr>
          <w:ilvl w:val="0"/>
          <w:numId w:val="40"/>
        </w:numPr>
        <w:overflowPunct w:val="0"/>
        <w:autoSpaceDE w:val="0"/>
        <w:autoSpaceDN w:val="0"/>
        <w:adjustRightInd w:val="0"/>
        <w:spacing w:after="0" w:line="276" w:lineRule="auto"/>
        <w:jc w:val="both"/>
        <w:textAlignment w:val="baseline"/>
        <w:rPr>
          <w:rFonts w:eastAsia="Times New Roman" w:cs="Times New Roman"/>
          <w:lang w:eastAsia="cs-CZ"/>
        </w:rPr>
      </w:pPr>
      <w:r w:rsidRPr="00AC4327">
        <w:rPr>
          <w:rFonts w:eastAsia="Times New Roman" w:cs="Times New Roman"/>
          <w:lang w:eastAsia="cs-CZ"/>
        </w:rPr>
        <w:t>Návod na použití v českém jazyce</w:t>
      </w:r>
    </w:p>
    <w:p w14:paraId="16D40A7E" w14:textId="7C074700" w:rsidR="00AC4327" w:rsidRDefault="004840B9" w:rsidP="00AC4327">
      <w:pPr>
        <w:pStyle w:val="Odstavecseseznamem"/>
        <w:widowControl w:val="0"/>
        <w:numPr>
          <w:ilvl w:val="0"/>
          <w:numId w:val="40"/>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Prohlášení o shodě</w:t>
      </w:r>
    </w:p>
    <w:p w14:paraId="4B70C07C" w14:textId="77777777" w:rsidR="00D85C5B" w:rsidRPr="00C85038" w:rsidRDefault="00D85C5B" w:rsidP="00C7097F">
      <w:pPr>
        <w:pStyle w:val="Nadpis1"/>
        <w:numPr>
          <w:ilvl w:val="0"/>
          <w:numId w:val="23"/>
        </w:numPr>
        <w:spacing w:before="120" w:after="120" w:line="276" w:lineRule="auto"/>
        <w:jc w:val="both"/>
        <w:rPr>
          <w:rFonts w:eastAsia="Times New Roman"/>
          <w:lang w:eastAsia="cs-CZ"/>
        </w:rPr>
      </w:pPr>
      <w:r w:rsidRPr="00C85038">
        <w:rPr>
          <w:rFonts w:eastAsia="Times New Roman"/>
          <w:lang w:eastAsia="cs-CZ"/>
        </w:rPr>
        <w:t>Záruka</w:t>
      </w:r>
    </w:p>
    <w:p w14:paraId="5D812CA2" w14:textId="6584057B" w:rsidR="00AE4595" w:rsidRPr="00C85038"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C85038">
        <w:t>Dodavatel poskytuje záruku za jakost v délce min. 24 měsíců na celý předmět plnění.</w:t>
      </w:r>
    </w:p>
    <w:p w14:paraId="2097C982" w14:textId="77777777" w:rsidR="00A33BB9" w:rsidRDefault="00A33BB9" w:rsidP="00C7097F">
      <w:pPr>
        <w:pStyle w:val="Nadpis1"/>
        <w:numPr>
          <w:ilvl w:val="0"/>
          <w:numId w:val="23"/>
        </w:numPr>
        <w:spacing w:before="120" w:after="120"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77DC80D3" w:rsidR="00A33BB9" w:rsidRPr="00E30A6F" w:rsidRDefault="00A33BB9" w:rsidP="00554ACA">
      <w:pPr>
        <w:pStyle w:val="Odstavecseseznamem"/>
        <w:numPr>
          <w:ilvl w:val="1"/>
          <w:numId w:val="23"/>
        </w:numPr>
        <w:spacing w:after="120" w:line="276" w:lineRule="auto"/>
        <w:ind w:left="708" w:hanging="714"/>
        <w:contextualSpacing w:val="0"/>
        <w:jc w:val="both"/>
        <w:rPr>
          <w:lang w:eastAsia="cs-CZ"/>
        </w:rPr>
      </w:pPr>
      <w:r w:rsidRPr="00E30A6F">
        <w:rPr>
          <w:highlight w:val="yellow"/>
          <w:lang w:eastAsia="cs-CZ"/>
        </w:rPr>
        <w:t xml:space="preserve">Na provedení </w:t>
      </w:r>
      <w:r w:rsidR="00AE1EA3">
        <w:rPr>
          <w:highlight w:val="yellow"/>
          <w:lang w:eastAsia="cs-CZ"/>
        </w:rPr>
        <w:t>dodávky</w:t>
      </w:r>
      <w:r w:rsidRPr="00E30A6F">
        <w:rPr>
          <w:highlight w:val="yellow"/>
          <w:lang w:eastAsia="cs-CZ"/>
        </w:rPr>
        <w:t xml:space="preserve"> se budou podílet po</w:t>
      </w:r>
      <w:r w:rsidR="00554ACA">
        <w:rPr>
          <w:highlight w:val="yellow"/>
          <w:lang w:eastAsia="cs-CZ"/>
        </w:rPr>
        <w:t>ddodavatelé uvedení v příloze č. 4</w:t>
      </w:r>
      <w:r w:rsidRPr="00E30A6F">
        <w:rPr>
          <w:highlight w:val="yellow"/>
          <w:lang w:eastAsia="cs-CZ"/>
        </w:rPr>
        <w:t xml:space="preserve">. této Smlouvy. </w:t>
      </w:r>
    </w:p>
    <w:p w14:paraId="5CD37451" w14:textId="129EF8DB"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AE1EA3">
        <w:rPr>
          <w:highlight w:val="yellow"/>
          <w:lang w:eastAsia="cs-CZ"/>
        </w:rPr>
        <w:t>dodávky</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554ACA">
      <w:pPr>
        <w:pStyle w:val="Odstavecseseznamem"/>
        <w:numPr>
          <w:ilvl w:val="1"/>
          <w:numId w:val="23"/>
        </w:numPr>
        <w:spacing w:after="120" w:line="276" w:lineRule="auto"/>
        <w:ind w:left="708" w:hanging="714"/>
        <w:contextualSpacing w:val="0"/>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554ACA" w:rsidRDefault="00D85C5B" w:rsidP="00554ACA">
      <w:pPr>
        <w:pStyle w:val="Odstavecseseznamem"/>
        <w:numPr>
          <w:ilvl w:val="1"/>
          <w:numId w:val="23"/>
        </w:numPr>
        <w:spacing w:after="120" w:line="276" w:lineRule="auto"/>
        <w:ind w:left="708" w:hanging="714"/>
        <w:contextualSpacing w:val="0"/>
        <w:jc w:val="both"/>
        <w:rPr>
          <w:lang w:eastAsia="cs-CZ"/>
        </w:rPr>
      </w:pPr>
      <w:r w:rsidRPr="00554ACA">
        <w:rPr>
          <w:lang w:eastAsia="cs-CZ"/>
        </w:rPr>
        <w:t xml:space="preserve">Kontaktními osobami </w:t>
      </w:r>
      <w:r w:rsidR="008B1447" w:rsidRPr="00554ACA">
        <w:rPr>
          <w:lang w:eastAsia="cs-CZ"/>
        </w:rPr>
        <w:t>Sml</w:t>
      </w:r>
      <w:r w:rsidRPr="00554ACA">
        <w:rPr>
          <w:lang w:eastAsia="cs-CZ"/>
        </w:rPr>
        <w:t>uvních stran jsou</w:t>
      </w:r>
    </w:p>
    <w:p w14:paraId="04A8EF3F" w14:textId="11A4812F" w:rsidR="00D85C5B" w:rsidRPr="00554ACA" w:rsidRDefault="00D85C5B" w:rsidP="00554ACA">
      <w:pPr>
        <w:pStyle w:val="Odstavecseseznamem"/>
        <w:numPr>
          <w:ilvl w:val="2"/>
          <w:numId w:val="27"/>
        </w:numPr>
        <w:spacing w:after="120" w:line="276" w:lineRule="auto"/>
        <w:ind w:left="1077"/>
        <w:contextualSpacing w:val="0"/>
        <w:jc w:val="both"/>
        <w:rPr>
          <w:rFonts w:eastAsia="Times New Roman" w:cs="Times New Roman"/>
          <w:lang w:eastAsia="cs-CZ"/>
        </w:rPr>
      </w:pPr>
      <w:r w:rsidRPr="00554ACA">
        <w:rPr>
          <w:rFonts w:eastAsia="Times New Roman" w:cs="Times New Roman"/>
          <w:lang w:eastAsia="cs-CZ"/>
        </w:rPr>
        <w:t xml:space="preserve">za Kupujícího </w:t>
      </w:r>
      <w:r w:rsidR="00554ACA" w:rsidRPr="00554ACA">
        <w:rPr>
          <w:rFonts w:eastAsia="Times New Roman" w:cs="Times New Roman"/>
          <w:lang w:eastAsia="cs-CZ"/>
        </w:rPr>
        <w:t>p. Petr Janeš, tel. +420 721 949 304, email: Janes@spravazeleznic.cz</w:t>
      </w:r>
    </w:p>
    <w:p w14:paraId="5FEEEEAB" w14:textId="25B09AB4" w:rsidR="00D85C5B" w:rsidRDefault="00D85C5B" w:rsidP="00EF5929">
      <w:pPr>
        <w:pStyle w:val="Odstavecseseznamem"/>
        <w:numPr>
          <w:ilvl w:val="2"/>
          <w:numId w:val="27"/>
        </w:numPr>
        <w:spacing w:after="120" w:line="276" w:lineRule="auto"/>
        <w:ind w:left="1077"/>
        <w:contextualSpacing w:val="0"/>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lastRenderedPageBreak/>
        <w:t>Smluvní</w:t>
      </w:r>
      <w:r w:rsidRPr="009146AF">
        <w:t xml:space="preserve">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t>Jestliže</w:t>
      </w:r>
      <w:r w:rsidRPr="009146AF">
        <w:t xml:space="preserve"> Smluvní strana </w:t>
      </w:r>
      <w:proofErr w:type="gramStart"/>
      <w:r w:rsidRPr="009146AF">
        <w:t>označí</w:t>
      </w:r>
      <w:proofErr w:type="gramEnd"/>
      <w:r w:rsidRPr="009146AF">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9146AF">
        <w:t>neoznačí</w:t>
      </w:r>
      <w:proofErr w:type="gramEnd"/>
      <w:r w:rsidRPr="009146AF">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F5929">
      <w:pPr>
        <w:pStyle w:val="Odstavecseseznamem"/>
        <w:numPr>
          <w:ilvl w:val="1"/>
          <w:numId w:val="23"/>
        </w:numPr>
        <w:spacing w:after="120" w:line="276" w:lineRule="auto"/>
        <w:ind w:left="708" w:hanging="714"/>
        <w:contextualSpacing w:val="0"/>
        <w:jc w:val="both"/>
        <w:rPr>
          <w:lang w:eastAsia="cs-CZ"/>
        </w:rPr>
      </w:pPr>
      <w:r w:rsidRPr="009146AF">
        <w:rPr>
          <w:lang w:eastAsia="cs-CZ"/>
        </w:rPr>
        <w:t>Osoby uzavírající tuto Smlouvu za Smluvní strany souhlasí s uveřejněním svých osobních údajů, které jsou uvedeny v této Smlouvě, spolu se Smlouvou v registru smluv. Tento souhlas je udělen na dobu neurčitou.</w:t>
      </w:r>
    </w:p>
    <w:p w14:paraId="2060FC2C" w14:textId="7657F988" w:rsidR="008B2F5B" w:rsidRDefault="00D46823"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Pr>
          <w:lang w:eastAsia="cs-CZ"/>
        </w:rPr>
        <w:t xml:space="preserve">V případě </w:t>
      </w:r>
      <w:r w:rsidR="008B2F5B" w:rsidRPr="009146AF">
        <w:rPr>
          <w:lang w:eastAsia="cs-CZ"/>
        </w:rPr>
        <w:t>poskytnutí osobních údajů v rámci plnění Smluvního vztahu se Prodávající zavazuje přijmout vhodná technická a organizační opatření podle Nařízení Evropského parlamentu a Rady (EU) 2016/679 ze dne 27. dubna 2016 o ochraně fyzických</w:t>
      </w:r>
      <w:r w:rsidR="008B2F5B" w:rsidRPr="009146AF">
        <w:t xml:space="preserve">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C7097F">
      <w:pPr>
        <w:pStyle w:val="Nadpis1"/>
        <w:numPr>
          <w:ilvl w:val="0"/>
          <w:numId w:val="23"/>
        </w:numPr>
        <w:spacing w:before="120" w:after="120"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EF5929">
      <w:pPr>
        <w:pStyle w:val="Odstavecseseznamem"/>
        <w:numPr>
          <w:ilvl w:val="1"/>
          <w:numId w:val="23"/>
        </w:numPr>
        <w:spacing w:after="120" w:line="276" w:lineRule="auto"/>
        <w:ind w:left="708" w:hanging="714"/>
        <w:contextualSpacing w:val="0"/>
        <w:jc w:val="both"/>
        <w:rPr>
          <w:lang w:eastAsia="cs-CZ"/>
        </w:rPr>
      </w:pPr>
      <w:r w:rsidRPr="00483C85">
        <w:rPr>
          <w:lang w:eastAsia="cs-CZ"/>
        </w:rPr>
        <w:t xml:space="preserve">Prodávající prohlašuje, že není obchodní společností, ve které veřejný funkcionář uvedený v </w:t>
      </w:r>
      <w:proofErr w:type="spellStart"/>
      <w:r w:rsidRPr="00483C85">
        <w:rPr>
          <w:lang w:eastAsia="cs-CZ"/>
        </w:rPr>
        <w:t>ust</w:t>
      </w:r>
      <w:proofErr w:type="spellEnd"/>
      <w:r w:rsidRPr="00483C85">
        <w:rPr>
          <w:lang w:eastAsia="cs-CZ"/>
        </w:rPr>
        <w:t>. § 2 odst. 1 písm. c) zákona č. 159/2006 Sb., o střetu zájmů, ve znění pozdějších předpisů (dále jen „</w:t>
      </w:r>
      <w:r w:rsidRPr="00EF5929">
        <w:rPr>
          <w:b/>
          <w:bCs/>
          <w:iCs/>
        </w:rPr>
        <w:t>Zákon o střetu zájmů</w:t>
      </w:r>
      <w:r w:rsidRPr="00483C8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rPr>
          <w:lang w:eastAsia="cs-CZ"/>
        </w:rPr>
        <w:t>ust</w:t>
      </w:r>
      <w:proofErr w:type="spellEnd"/>
      <w:r w:rsidRPr="00483C85">
        <w:rPr>
          <w:lang w:eastAsia="cs-CZ"/>
        </w:rPr>
        <w:t>. § 2 odst. 1 písm. c) Zákona o střetu zájmů nebo jím ovládaná osoba vlastní podíl představující alespoň 25 % účasti společníka v obchodní společnosti</w:t>
      </w:r>
      <w:r>
        <w:rPr>
          <w:lang w:eastAsia="cs-CZ"/>
        </w:rPr>
        <w:t>.</w:t>
      </w:r>
    </w:p>
    <w:p w14:paraId="1DBA1250" w14:textId="77777777" w:rsidR="008B2F5B" w:rsidRDefault="008B2F5B" w:rsidP="00EF5929">
      <w:pPr>
        <w:pStyle w:val="Odstavecseseznamem"/>
        <w:numPr>
          <w:ilvl w:val="1"/>
          <w:numId w:val="23"/>
        </w:numPr>
        <w:spacing w:after="120" w:line="276" w:lineRule="auto"/>
        <w:ind w:left="708" w:hanging="714"/>
        <w:contextualSpacing w:val="0"/>
        <w:jc w:val="both"/>
      </w:pPr>
      <w:r w:rsidRPr="00483C85">
        <w:rPr>
          <w:lang w:eastAsia="cs-CZ"/>
        </w:rPr>
        <w:t>Prodávající</w:t>
      </w:r>
      <w:r w:rsidRPr="00483C85">
        <w:t xml:space="preserve">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4B7D84D0"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4840B9">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F5929">
      <w:pPr>
        <w:pStyle w:val="Odstavecseseznamem"/>
        <w:numPr>
          <w:ilvl w:val="1"/>
          <w:numId w:val="23"/>
        </w:numPr>
        <w:spacing w:after="120" w:line="276" w:lineRule="auto"/>
        <w:ind w:left="708" w:hanging="714"/>
        <w:contextualSpacing w:val="0"/>
        <w:jc w:val="both"/>
        <w:rPr>
          <w:lang w:eastAsia="cs-CZ"/>
        </w:rPr>
      </w:pPr>
      <w:r w:rsidRPr="00A453A2">
        <w:t>Je</w:t>
      </w:r>
      <w:r w:rsidRPr="00A453A2">
        <w:rPr>
          <w:lang w:eastAsia="cs-CZ"/>
        </w:rPr>
        <w:t>-li P</w:t>
      </w:r>
      <w:r w:rsidRPr="00A72529">
        <w:rPr>
          <w:lang w:eastAsia="cs-CZ"/>
        </w:rPr>
        <w:t xml:space="preserve">rodávajícím </w:t>
      </w:r>
      <w:r>
        <w:rPr>
          <w:lang w:eastAsia="cs-CZ"/>
        </w:rPr>
        <w:t xml:space="preserve">sdružení více osob, platí podmínky dle </w:t>
      </w:r>
      <w:r w:rsidRPr="00554ACA">
        <w:rPr>
          <w:lang w:eastAsia="cs-CZ"/>
        </w:rPr>
        <w:t>odstavce 9.1 a 9.2 této</w:t>
      </w:r>
      <w:r>
        <w:rPr>
          <w:lang w:eastAsia="cs-CZ"/>
        </w:rPr>
        <w:t xml:space="preserve"> Smlouvy také jednotlivě pro všechny osoby v rámci Prodávajícího sdružené, a to bez ohledu na právní formu tohoto sdružení.</w:t>
      </w:r>
    </w:p>
    <w:p w14:paraId="57428C67" w14:textId="77777777" w:rsidR="008B2F5B" w:rsidRPr="00483C85" w:rsidRDefault="008B2F5B" w:rsidP="00EF5929">
      <w:pPr>
        <w:pStyle w:val="Odstavecseseznamem"/>
        <w:numPr>
          <w:ilvl w:val="1"/>
          <w:numId w:val="23"/>
        </w:numPr>
        <w:spacing w:after="120" w:line="276" w:lineRule="auto"/>
        <w:ind w:left="708" w:hanging="714"/>
        <w:contextualSpacing w:val="0"/>
        <w:jc w:val="both"/>
        <w:rPr>
          <w:lang w:eastAsia="cs-CZ"/>
        </w:rPr>
      </w:pPr>
      <w:r w:rsidRPr="00483C85">
        <w:rPr>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F5929">
      <w:pPr>
        <w:pStyle w:val="Odstavecseseznamem"/>
        <w:numPr>
          <w:ilvl w:val="1"/>
          <w:numId w:val="23"/>
        </w:numPr>
        <w:spacing w:after="120" w:line="276" w:lineRule="auto"/>
        <w:ind w:left="708" w:hanging="714"/>
        <w:contextualSpacing w:val="0"/>
        <w:jc w:val="both"/>
        <w:rPr>
          <w:lang w:eastAsia="cs-CZ"/>
        </w:rPr>
      </w:pPr>
      <w:bookmarkStart w:id="1" w:name="_Ref156812881"/>
      <w:r w:rsidRPr="00483C85">
        <w:rPr>
          <w:lang w:eastAsia="cs-CZ"/>
        </w:rPr>
        <w:t xml:space="preserve">Prodávající se dále zavazuje postupovat při plnění této Smlouvy v souladu s </w:t>
      </w:r>
      <w:r>
        <w:rPr>
          <w:lang w:eastAsia="cs-CZ"/>
        </w:rPr>
        <w:t>n</w:t>
      </w:r>
      <w:r w:rsidRPr="00483C85">
        <w:rPr>
          <w:lang w:eastAsia="cs-CZ"/>
        </w:rPr>
        <w:t>ařízení</w:t>
      </w:r>
      <w:r>
        <w:rPr>
          <w:lang w:eastAsia="cs-CZ"/>
        </w:rPr>
        <w:t>m</w:t>
      </w:r>
      <w:r w:rsidRPr="00483C85">
        <w:rPr>
          <w:lang w:eastAsia="cs-CZ"/>
        </w:rPr>
        <w:t xml:space="preserve"> Rady (ES) č. 765/2006 ze dne 18. května 2006 o omezujících opatřeních vzhledem k situaci v Bělorusku a k zapojení Běloruska do ruské agrese proti Ukrajině</w:t>
      </w:r>
      <w:r w:rsidRPr="00F010DC">
        <w:rPr>
          <w:lang w:eastAsia="cs-CZ"/>
        </w:rPr>
        <w:t>, ve znění pozdějších předpisů,</w:t>
      </w:r>
      <w:r w:rsidRPr="00483C85">
        <w:rPr>
          <w:lang w:eastAsia="cs-CZ"/>
        </w:rPr>
        <w:t xml:space="preserve"> </w:t>
      </w:r>
      <w:r>
        <w:rPr>
          <w:lang w:eastAsia="cs-CZ"/>
        </w:rPr>
        <w:t>n</w:t>
      </w:r>
      <w:r w:rsidRPr="00EF5929">
        <w:rPr>
          <w:lang w:eastAsia="cs-CZ"/>
        </w:rPr>
        <w:t>ařízením Rady (EU) č. 208/2014 ze dne 5. března 2014 o omezujících opatřeních vůči některým osobám, subjektům a orgánům vzhledem k situaci na Ukrajině, ve znění pozdějších předpisů,</w:t>
      </w:r>
      <w:r w:rsidRPr="007A08B0">
        <w:rPr>
          <w:lang w:eastAsia="cs-CZ"/>
        </w:rPr>
        <w:t xml:space="preserve"> a dalších prováděcích předpisů k t</w:t>
      </w:r>
      <w:r>
        <w:rPr>
          <w:lang w:eastAsia="cs-CZ"/>
        </w:rPr>
        <w:t>ěmto</w:t>
      </w:r>
      <w:r w:rsidRPr="007A08B0">
        <w:rPr>
          <w:lang w:eastAsia="cs-CZ"/>
        </w:rPr>
        <w:t xml:space="preserve"> nařízení</w:t>
      </w:r>
      <w:r>
        <w:rPr>
          <w:lang w:eastAsia="cs-CZ"/>
        </w:rPr>
        <w:t>m</w:t>
      </w:r>
      <w:r w:rsidRPr="00483C85">
        <w:rPr>
          <w:lang w:eastAsia="cs-CZ"/>
        </w:rPr>
        <w:t>.</w:t>
      </w:r>
      <w:bookmarkEnd w:id="1"/>
    </w:p>
    <w:p w14:paraId="430B0167" w14:textId="77777777" w:rsidR="008B2F5B" w:rsidRPr="00483C85" w:rsidRDefault="008B2F5B" w:rsidP="00EF5929">
      <w:pPr>
        <w:pStyle w:val="Odstavecseseznamem"/>
        <w:numPr>
          <w:ilvl w:val="1"/>
          <w:numId w:val="23"/>
        </w:numPr>
        <w:spacing w:after="120" w:line="276" w:lineRule="auto"/>
        <w:ind w:left="708" w:hanging="714"/>
        <w:contextualSpacing w:val="0"/>
        <w:jc w:val="both"/>
        <w:rPr>
          <w:lang w:eastAsia="cs-CZ"/>
        </w:rPr>
      </w:pPr>
      <w:r>
        <w:rPr>
          <w:lang w:eastAsia="cs-CZ"/>
        </w:rPr>
        <w:t xml:space="preserve">Prodávající se dále </w:t>
      </w:r>
      <w:bookmarkStart w:id="2" w:name="_Hlk156814447"/>
      <w:r w:rsidRPr="007A08B0">
        <w:rPr>
          <w:lang w:eastAsia="cs-CZ"/>
        </w:rPr>
        <w:t xml:space="preserve">zavazuje, že finanční prostředky ani hospodářské zdroje, které </w:t>
      </w:r>
      <w:proofErr w:type="gramStart"/>
      <w:r w:rsidRPr="007A08B0">
        <w:rPr>
          <w:lang w:eastAsia="cs-CZ"/>
        </w:rPr>
        <w:t>obdrží</w:t>
      </w:r>
      <w:proofErr w:type="gramEnd"/>
      <w:r w:rsidRPr="007A08B0">
        <w:rPr>
          <w:lang w:eastAsia="cs-CZ"/>
        </w:rPr>
        <w:t xml:space="preserve"> od </w:t>
      </w:r>
      <w:r>
        <w:rPr>
          <w:lang w:eastAsia="cs-CZ"/>
        </w:rPr>
        <w:t>Kupujícího</w:t>
      </w:r>
      <w:r w:rsidRPr="007A08B0">
        <w:rPr>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Pr>
          <w:lang w:eastAsia="cs-CZ"/>
        </w:rPr>
        <w:t>.</w:t>
      </w:r>
    </w:p>
    <w:p w14:paraId="3EF43CDB" w14:textId="3DF46053" w:rsidR="008B2F5B" w:rsidRDefault="008B2F5B" w:rsidP="00EF5929">
      <w:pPr>
        <w:pStyle w:val="Odstavecseseznamem"/>
        <w:numPr>
          <w:ilvl w:val="1"/>
          <w:numId w:val="23"/>
        </w:numPr>
        <w:spacing w:after="120" w:line="276" w:lineRule="auto"/>
        <w:ind w:left="708" w:hanging="714"/>
        <w:contextualSpacing w:val="0"/>
        <w:jc w:val="both"/>
      </w:pPr>
      <w:r w:rsidRPr="00483C85">
        <w:rPr>
          <w:lang w:eastAsia="cs-CZ"/>
        </w:rPr>
        <w:t>Ukáž</w:t>
      </w:r>
      <w:r>
        <w:rPr>
          <w:lang w:eastAsia="cs-CZ"/>
        </w:rPr>
        <w:t>e</w:t>
      </w:r>
      <w:r w:rsidRPr="00483C85">
        <w:rPr>
          <w:lang w:eastAsia="cs-CZ"/>
        </w:rPr>
        <w:t>-li se</w:t>
      </w:r>
      <w:r>
        <w:rPr>
          <w:lang w:eastAsia="cs-CZ"/>
        </w:rPr>
        <w:t xml:space="preserve"> jakékoliv</w:t>
      </w:r>
      <w:r w:rsidRPr="00483C85">
        <w:rPr>
          <w:lang w:eastAsia="cs-CZ"/>
        </w:rPr>
        <w:t xml:space="preserve"> prohlášení Prodávajícího dle </w:t>
      </w:r>
      <w:r>
        <w:rPr>
          <w:lang w:eastAsia="cs-CZ"/>
        </w:rPr>
        <w:t>tohoto článku</w:t>
      </w:r>
      <w:r w:rsidRPr="00F010DC">
        <w:rPr>
          <w:lang w:eastAsia="cs-CZ"/>
        </w:rPr>
        <w:t xml:space="preserve"> Smlouvy jako nepravdiv</w:t>
      </w:r>
      <w:r>
        <w:rPr>
          <w:lang w:eastAsia="cs-CZ"/>
        </w:rPr>
        <w:t>é</w:t>
      </w:r>
      <w:r w:rsidRPr="00F010DC">
        <w:rPr>
          <w:lang w:eastAsia="cs-CZ"/>
        </w:rPr>
        <w:t xml:space="preserve"> nebo </w:t>
      </w:r>
      <w:proofErr w:type="gramStart"/>
      <w:r w:rsidRPr="00483C85">
        <w:rPr>
          <w:lang w:eastAsia="cs-CZ"/>
        </w:rPr>
        <w:t>poruší</w:t>
      </w:r>
      <w:proofErr w:type="gramEnd"/>
      <w:r w:rsidRPr="00483C85">
        <w:rPr>
          <w:lang w:eastAsia="cs-CZ"/>
        </w:rPr>
        <w:t xml:space="preserve">-li Prodávající svou oznamovací povinnost nebo </w:t>
      </w:r>
      <w:r>
        <w:rPr>
          <w:lang w:eastAsia="cs-CZ"/>
        </w:rPr>
        <w:t xml:space="preserve">některou z dalších </w:t>
      </w:r>
      <w:r w:rsidRPr="00483C85">
        <w:rPr>
          <w:lang w:eastAsia="cs-CZ"/>
        </w:rPr>
        <w:t>povinnost</w:t>
      </w:r>
      <w:r>
        <w:rPr>
          <w:lang w:eastAsia="cs-CZ"/>
        </w:rPr>
        <w:t>í</w:t>
      </w:r>
      <w:r w:rsidRPr="00483C85">
        <w:rPr>
          <w:lang w:eastAsia="cs-CZ"/>
        </w:rPr>
        <w:t xml:space="preserve"> dle </w:t>
      </w:r>
      <w:r>
        <w:rPr>
          <w:lang w:eastAsia="cs-CZ"/>
        </w:rPr>
        <w:t>tohoto článku</w:t>
      </w:r>
      <w:r w:rsidRPr="00483C85">
        <w:rPr>
          <w:lang w:eastAsia="cs-CZ"/>
        </w:rPr>
        <w:t xml:space="preserve"> Smlouvy, je Kupující oprávněn odstoupit od této Smlouvy. Prodávající je dále povinen zaplatit</w:t>
      </w:r>
      <w:r>
        <w:rPr>
          <w:lang w:eastAsia="cs-CZ"/>
        </w:rPr>
        <w:t xml:space="preserve"> za každé jednotlivé porušení povinností dle předchozí věty</w:t>
      </w:r>
      <w:r w:rsidRPr="00483C85">
        <w:rPr>
          <w:lang w:eastAsia="cs-CZ"/>
        </w:rPr>
        <w:t xml:space="preserve"> smluvní pokutu ve </w:t>
      </w:r>
      <w:r w:rsidRPr="00554ACA">
        <w:rPr>
          <w:lang w:eastAsia="cs-CZ"/>
        </w:rPr>
        <w:t>výši 5 % procent</w:t>
      </w:r>
      <w:r w:rsidRPr="00483C85">
        <w:rPr>
          <w:lang w:eastAsia="cs-CZ"/>
        </w:rPr>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C7097F">
      <w:pPr>
        <w:pStyle w:val="Nadpis1"/>
        <w:numPr>
          <w:ilvl w:val="0"/>
          <w:numId w:val="23"/>
        </w:numPr>
        <w:spacing w:before="120" w:after="120"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EF5929">
      <w:pPr>
        <w:pStyle w:val="Odstavecseseznamem"/>
        <w:numPr>
          <w:ilvl w:val="1"/>
          <w:numId w:val="23"/>
        </w:numPr>
        <w:spacing w:after="120" w:line="276" w:lineRule="auto"/>
        <w:ind w:left="708" w:hanging="714"/>
        <w:contextualSpacing w:val="0"/>
        <w:jc w:val="both"/>
        <w:rPr>
          <w:lang w:eastAsia="cs-CZ"/>
        </w:rPr>
      </w:pPr>
      <w:r>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Pr>
          <w:lang w:eastAsia="cs-CZ"/>
        </w:rPr>
        <w:t>compliance</w:t>
      </w:r>
      <w:proofErr w:type="spellEnd"/>
      <w:r>
        <w:rPr>
          <w:lang w:eastAsia="cs-CZ"/>
        </w:rP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EF5929">
      <w:pPr>
        <w:pStyle w:val="Odstavecseseznamem"/>
        <w:numPr>
          <w:ilvl w:val="1"/>
          <w:numId w:val="23"/>
        </w:numPr>
        <w:spacing w:after="120" w:line="276" w:lineRule="auto"/>
        <w:ind w:left="708" w:hanging="714"/>
        <w:contextualSpacing w:val="0"/>
        <w:jc w:val="both"/>
        <w:rPr>
          <w:lang w:eastAsia="cs-CZ"/>
        </w:rPr>
      </w:pPr>
      <w:r>
        <w:rPr>
          <w:lang w:eastAsia="cs-CZ"/>
        </w:rPr>
        <w:t xml:space="preserve">Správa železnic, státní organizace, má výše uvedené dokumenty k dispozici na webových stránkách: </w:t>
      </w:r>
      <w:hyperlink r:id="rId11" w:history="1">
        <w:r w:rsidRPr="00EF5929">
          <w:rPr>
            <w:lang w:eastAsia="cs-CZ"/>
          </w:rPr>
          <w:t>https://www.spravazeleznic.cz/o-nas/nazadouci-jednani-a-boj-s-korupci</w:t>
        </w:r>
      </w:hyperlink>
      <w:r>
        <w:rPr>
          <w:lang w:eastAsia="cs-CZ"/>
        </w:rPr>
        <w:t>.</w:t>
      </w:r>
    </w:p>
    <w:p w14:paraId="60E9EA1F" w14:textId="51FBC531" w:rsidR="00B1367D" w:rsidRDefault="00B1367D" w:rsidP="00EF5929">
      <w:pPr>
        <w:pStyle w:val="Odstavecseseznamem"/>
        <w:numPr>
          <w:ilvl w:val="1"/>
          <w:numId w:val="23"/>
        </w:numPr>
        <w:spacing w:after="120" w:line="276" w:lineRule="auto"/>
        <w:ind w:left="708" w:hanging="714"/>
        <w:contextualSpacing w:val="0"/>
        <w:jc w:val="both"/>
      </w:pPr>
      <w:r>
        <w:rPr>
          <w:lang w:eastAsia="cs-CZ"/>
        </w:rPr>
        <w:t>Prodávající</w:t>
      </w:r>
      <w:r>
        <w:t xml:space="preserve"> má výše uvedené dokumenty k dispozici na webových stránkách:</w:t>
      </w:r>
      <w:r w:rsidRPr="00554ACA">
        <w:t xml:space="preserve"> </w:t>
      </w:r>
      <w:r w:rsidRPr="00554ACA">
        <w:rPr>
          <w:highlight w:val="yellow"/>
        </w:rPr>
        <w:t>[doplní Prodávající x nemá-li Prodávající výše uvedené dokumenty, celý bod 10.3 odstraní]</w:t>
      </w:r>
    </w:p>
    <w:p w14:paraId="6B4EC7CA" w14:textId="7AF65F13" w:rsidR="00D85C5B" w:rsidRPr="000C5DA0" w:rsidRDefault="00D85C5B" w:rsidP="000A2B06">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EF5929">
      <w:pPr>
        <w:pStyle w:val="Odstavecseseznamem"/>
        <w:numPr>
          <w:ilvl w:val="1"/>
          <w:numId w:val="23"/>
        </w:numPr>
        <w:spacing w:after="120" w:line="276" w:lineRule="auto"/>
        <w:ind w:left="708" w:hanging="714"/>
        <w:contextualSpacing w:val="0"/>
        <w:jc w:val="both"/>
        <w:rPr>
          <w:lang w:eastAsia="cs-CZ"/>
        </w:rPr>
      </w:pPr>
      <w:r w:rsidRPr="009146AF">
        <w:rPr>
          <w:lang w:eastAsia="cs-CZ"/>
        </w:rPr>
        <w:t>Tato Smlouva se řídí Obchodními podmínkami k této Smlouvě (dále jen „</w:t>
      </w:r>
      <w:r w:rsidRPr="00EF5929">
        <w:rPr>
          <w:b/>
          <w:bCs/>
          <w:i/>
          <w:iCs/>
        </w:rPr>
        <w:t>Obchodní podmínky</w:t>
      </w:r>
      <w:r w:rsidRPr="009146AF">
        <w:rPr>
          <w:lang w:eastAsia="cs-CZ"/>
        </w:rPr>
        <w:t>“). Odchylná ujednání v této Smlouvě mají před zněním Obchodních podmínek přednost</w:t>
      </w:r>
      <w:r w:rsidR="00D85C5B" w:rsidRPr="00E30A6F">
        <w:rPr>
          <w:lang w:eastAsia="cs-CZ"/>
        </w:rPr>
        <w:t>.</w:t>
      </w:r>
    </w:p>
    <w:p w14:paraId="4418F347" w14:textId="77777777"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Prodávající prohlašuje, že </w:t>
      </w:r>
    </w:p>
    <w:p w14:paraId="0C39C4DC" w14:textId="387B7697" w:rsidR="00D85C5B" w:rsidRPr="00E30A6F" w:rsidRDefault="00D85C5B" w:rsidP="00D46823">
      <w:pPr>
        <w:pStyle w:val="Odstavecseseznamem"/>
        <w:spacing w:after="120" w:line="276" w:lineRule="auto"/>
        <w:ind w:left="708"/>
        <w:contextualSpacing w:val="0"/>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D46823">
      <w:pPr>
        <w:pStyle w:val="Odstavecseseznamem"/>
        <w:spacing w:after="120" w:line="276" w:lineRule="auto"/>
        <w:ind w:left="708"/>
        <w:contextualSpacing w:val="0"/>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w:t>
      </w:r>
      <w:proofErr w:type="gramStart"/>
      <w:r w:rsidRPr="00E30A6F">
        <w:rPr>
          <w:lang w:eastAsia="cs-CZ"/>
        </w:rPr>
        <w:t>obdrží</w:t>
      </w:r>
      <w:proofErr w:type="gramEnd"/>
      <w:r w:rsidRPr="00E30A6F">
        <w:rPr>
          <w:lang w:eastAsia="cs-CZ"/>
        </w:rPr>
        <w:t xml:space="preserve">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D46823">
        <w:rPr>
          <w:b/>
          <w:highlight w:val="yellow"/>
          <w:lang w:eastAsia="cs-CZ"/>
        </w:rPr>
        <w:t>třech</w:t>
      </w:r>
      <w:r w:rsidR="007F5EC4" w:rsidRPr="00EF5929">
        <w:rPr>
          <w:lang w:eastAsia="cs-CZ"/>
        </w:rPr>
        <w:t xml:space="preserve"> </w:t>
      </w:r>
      <w:r w:rsidR="00D85C5B" w:rsidRPr="00E30A6F">
        <w:rPr>
          <w:lang w:eastAsia="cs-CZ"/>
        </w:rPr>
        <w:t xml:space="preserve">vyhotoveních, </w:t>
      </w:r>
      <w:r w:rsidR="00791AC7" w:rsidRPr="00162651">
        <w:rPr>
          <w:lang w:eastAsia="cs-CZ"/>
        </w:rPr>
        <w:t xml:space="preserve">ve </w:t>
      </w:r>
      <w:r w:rsidR="00791AC7" w:rsidRPr="00162651">
        <w:rPr>
          <w:b/>
          <w:lang w:eastAsia="cs-CZ"/>
        </w:rPr>
        <w:t>dvou</w:t>
      </w:r>
      <w:r w:rsidR="00791AC7" w:rsidRPr="00162651">
        <w:rPr>
          <w:lang w:eastAsia="cs-CZ"/>
        </w:rPr>
        <w:t xml:space="preserve"> vyhotoveních</w:t>
      </w:r>
      <w:r w:rsidR="00791AC7" w:rsidRPr="00E30A6F">
        <w:rPr>
          <w:lang w:eastAsia="cs-CZ"/>
        </w:rPr>
        <w:t xml:space="preserve"> pro Kupujícího a </w:t>
      </w:r>
      <w:r w:rsidR="00791AC7" w:rsidRPr="00D46823">
        <w:rPr>
          <w:b/>
          <w:highlight w:val="yellow"/>
          <w:lang w:eastAsia="cs-CZ"/>
        </w:rPr>
        <w:t>jedno</w:t>
      </w:r>
      <w:r w:rsidR="00C337B9" w:rsidRPr="00D46823">
        <w:rPr>
          <w:b/>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Poté, co Prodávající poprvé </w:t>
      </w:r>
      <w:proofErr w:type="gramStart"/>
      <w:r w:rsidRPr="00E30A6F">
        <w:rPr>
          <w:lang w:eastAsia="cs-CZ"/>
        </w:rPr>
        <w:t>obdrží</w:t>
      </w:r>
      <w:proofErr w:type="gramEnd"/>
      <w:r w:rsidRPr="00E30A6F">
        <w:rPr>
          <w:lang w:eastAsia="cs-CZ"/>
        </w:rPr>
        <w:t xml:space="preserve">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554ACA" w:rsidRDefault="008B1447" w:rsidP="00EF5929">
      <w:pPr>
        <w:pStyle w:val="Odstavecseseznamem"/>
        <w:numPr>
          <w:ilvl w:val="1"/>
          <w:numId w:val="23"/>
        </w:numPr>
        <w:spacing w:after="120" w:line="276" w:lineRule="auto"/>
        <w:ind w:left="708" w:hanging="714"/>
        <w:contextualSpacing w:val="0"/>
        <w:jc w:val="both"/>
        <w:rPr>
          <w:lang w:eastAsia="cs-CZ"/>
        </w:rPr>
      </w:pPr>
      <w:r w:rsidRPr="00554ACA">
        <w:rPr>
          <w:lang w:eastAsia="cs-CZ"/>
        </w:rPr>
        <w:t>Tato S</w:t>
      </w:r>
      <w:r w:rsidR="00D85C5B" w:rsidRPr="00554ACA">
        <w:rPr>
          <w:lang w:eastAsia="cs-CZ"/>
        </w:rPr>
        <w:t xml:space="preserve">mlouva nabývá platnosti okamžikem podpisu poslední ze </w:t>
      </w:r>
      <w:r w:rsidR="00FB5045" w:rsidRPr="00554ACA">
        <w:rPr>
          <w:lang w:eastAsia="cs-CZ"/>
        </w:rPr>
        <w:t>Sml</w:t>
      </w:r>
      <w:r w:rsidR="00D85C5B" w:rsidRPr="00554ACA">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BE2720">
      <w:pPr>
        <w:pStyle w:val="Nadpis1"/>
        <w:numPr>
          <w:ilvl w:val="0"/>
          <w:numId w:val="0"/>
        </w:numPr>
        <w:spacing w:before="120" w:after="120" w:line="276" w:lineRule="auto"/>
        <w:jc w:val="both"/>
        <w:rPr>
          <w:rFonts w:eastAsia="Times New Roman" w:cs="Times New Roman"/>
          <w:b w:val="0"/>
          <w:lang w:eastAsia="cs-CZ"/>
        </w:rPr>
      </w:pPr>
      <w:r w:rsidRPr="00EF5929">
        <w:rPr>
          <w:rFonts w:eastAsia="Times New Roman"/>
          <w:lang w:eastAsia="cs-CZ"/>
        </w:rPr>
        <w:t>Přílohy</w:t>
      </w:r>
    </w:p>
    <w:p w14:paraId="403AECE4" w14:textId="415614AF" w:rsidR="008F2302"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459A4A7A" w14:textId="3BA2BA83" w:rsidR="00D85C5B" w:rsidRPr="00554ACA"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554ACA">
        <w:rPr>
          <w:rFonts w:eastAsia="Times New Roman" w:cs="Times New Roman"/>
          <w:lang w:eastAsia="cs-CZ"/>
        </w:rPr>
        <w:t xml:space="preserve">příloha č. </w:t>
      </w:r>
      <w:r w:rsidR="00013A77" w:rsidRPr="00554ACA">
        <w:rPr>
          <w:rFonts w:eastAsia="Times New Roman" w:cs="Times New Roman"/>
          <w:lang w:eastAsia="cs-CZ"/>
        </w:rPr>
        <w:t>2</w:t>
      </w:r>
      <w:r w:rsidRPr="00554ACA">
        <w:rPr>
          <w:rFonts w:eastAsia="Times New Roman" w:cs="Times New Roman"/>
          <w:lang w:eastAsia="cs-CZ"/>
        </w:rPr>
        <w:t>:</w:t>
      </w:r>
      <w:r w:rsidRPr="00554ACA">
        <w:rPr>
          <w:rFonts w:eastAsia="Times New Roman" w:cs="Times New Roman"/>
          <w:lang w:eastAsia="cs-CZ"/>
        </w:rPr>
        <w:tab/>
      </w:r>
      <w:r w:rsidR="008F2302" w:rsidRPr="00554ACA">
        <w:rPr>
          <w:rFonts w:eastAsia="Times New Roman" w:cs="Times New Roman"/>
          <w:lang w:eastAsia="cs-CZ"/>
        </w:rPr>
        <w:t>S</w:t>
      </w:r>
      <w:r w:rsidRPr="00554ACA">
        <w:rPr>
          <w:rFonts w:eastAsia="Times New Roman" w:cs="Times New Roman"/>
          <w:lang w:eastAsia="cs-CZ"/>
        </w:rPr>
        <w:t>pecifikace předmětu koupě</w:t>
      </w:r>
    </w:p>
    <w:p w14:paraId="46621F99" w14:textId="17B15444" w:rsidR="00CC1601" w:rsidRPr="00554ACA"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54ACA">
        <w:rPr>
          <w:rFonts w:eastAsia="Times New Roman" w:cs="Times New Roman"/>
          <w:lang w:eastAsia="cs-CZ"/>
        </w:rPr>
        <w:t xml:space="preserve">příloha č. </w:t>
      </w:r>
      <w:r w:rsidR="00013A77" w:rsidRPr="00554ACA">
        <w:rPr>
          <w:rFonts w:eastAsia="Times New Roman" w:cs="Times New Roman"/>
          <w:lang w:eastAsia="cs-CZ"/>
        </w:rPr>
        <w:t>3</w:t>
      </w:r>
      <w:r w:rsidRPr="00554ACA">
        <w:rPr>
          <w:rFonts w:eastAsia="Times New Roman" w:cs="Times New Roman"/>
          <w:lang w:eastAsia="cs-CZ"/>
        </w:rPr>
        <w:t>:</w:t>
      </w:r>
      <w:r w:rsidRPr="00554ACA">
        <w:rPr>
          <w:rFonts w:eastAsia="Times New Roman" w:cs="Times New Roman"/>
          <w:lang w:eastAsia="cs-CZ"/>
        </w:rPr>
        <w:tab/>
      </w:r>
      <w:r w:rsidR="00554ACA" w:rsidRPr="00F97F99">
        <w:rPr>
          <w:rFonts w:eastAsia="Times New Roman" w:cs="Times New Roman"/>
          <w:lang w:eastAsia="cs-CZ"/>
        </w:rPr>
        <w:t>Nabídkový ceník</w:t>
      </w:r>
    </w:p>
    <w:p w14:paraId="34F310AB" w14:textId="380DFAD6" w:rsidR="00B1367D" w:rsidRPr="000C5DA0" w:rsidRDefault="00B1367D" w:rsidP="00B1367D">
      <w:pPr>
        <w:pStyle w:val="Plohy"/>
        <w:spacing w:before="0" w:after="0"/>
        <w:rPr>
          <w:rFonts w:eastAsia="Times New Roman" w:cs="Times New Roman"/>
          <w:lang w:eastAsia="cs-CZ"/>
        </w:rPr>
      </w:pPr>
      <w:r w:rsidRPr="00C25307">
        <w:rPr>
          <w:rFonts w:eastAsia="Times New Roman" w:cs="Times New Roman"/>
          <w:highlight w:val="yellow"/>
          <w:lang w:eastAsia="cs-CZ"/>
        </w:rPr>
        <w:t>příloha č. 4:</w:t>
      </w:r>
      <w:r w:rsidRPr="00C25307">
        <w:rPr>
          <w:rFonts w:eastAsia="Times New Roman" w:cs="Times New Roman"/>
          <w:highlight w:val="yellow"/>
          <w:lang w:eastAsia="cs-CZ"/>
        </w:rPr>
        <w:tab/>
      </w:r>
      <w:r w:rsidR="00C25307" w:rsidRPr="00C25307">
        <w:rPr>
          <w:rFonts w:eastAsia="Times New Roman" w:cs="Times New Roman"/>
          <w:highlight w:val="yellow"/>
          <w:lang w:eastAsia="cs-CZ"/>
        </w:rPr>
        <w:t>Seznam p</w:t>
      </w:r>
      <w:r w:rsidRPr="00C25307">
        <w:rPr>
          <w:rFonts w:eastAsia="Times New Roman" w:cs="Times New Roman"/>
          <w:highlight w:val="yellow"/>
          <w:lang w:eastAsia="cs-CZ"/>
        </w:rPr>
        <w:t>oddodavatel</w:t>
      </w:r>
      <w:r w:rsidR="00C25307" w:rsidRPr="00C25307">
        <w:rPr>
          <w:rFonts w:eastAsia="Times New Roman" w:cs="Times New Roman"/>
          <w:highlight w:val="yellow"/>
          <w:lang w:eastAsia="cs-CZ"/>
        </w:rPr>
        <w:t>ů / Neobsazeno</w:t>
      </w:r>
    </w:p>
    <w:p w14:paraId="1416137A" w14:textId="23A8F926"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58088AC0"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r w:rsidR="00554ACA">
        <w:rPr>
          <w:rFonts w:asciiTheme="majorHAnsi" w:hAnsiTheme="majorHAnsi"/>
        </w:rPr>
        <w:t>……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6DD23504" w:rsidR="00CB3AD5" w:rsidRDefault="00CB3AD5" w:rsidP="0068187B">
      <w:pPr>
        <w:widowControl w:val="0"/>
        <w:spacing w:after="0" w:line="276" w:lineRule="auto"/>
        <w:jc w:val="both"/>
        <w:rPr>
          <w:rFonts w:asciiTheme="majorHAnsi" w:hAnsiTheme="majorHAnsi"/>
        </w:rPr>
      </w:pPr>
    </w:p>
    <w:p w14:paraId="3448C454" w14:textId="38553FB1" w:rsidR="00EF5929" w:rsidRDefault="00EF5929" w:rsidP="0068187B">
      <w:pPr>
        <w:widowControl w:val="0"/>
        <w:spacing w:after="0" w:line="276" w:lineRule="auto"/>
        <w:jc w:val="both"/>
        <w:rPr>
          <w:rFonts w:asciiTheme="majorHAnsi" w:hAnsiTheme="majorHAnsi"/>
        </w:rPr>
      </w:pPr>
    </w:p>
    <w:p w14:paraId="39792F0F" w14:textId="77777777" w:rsidR="00EF5929" w:rsidRPr="00221465" w:rsidRDefault="00EF5929"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CBAB827" w14:textId="77777777" w:rsidR="00FE1B82" w:rsidRPr="00221465" w:rsidRDefault="00FE1B82"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714B56C6"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EF5929" w:rsidRPr="00596E45">
        <w:rPr>
          <w:rFonts w:asciiTheme="majorHAnsi" w:hAnsiTheme="majorHAnsi"/>
          <w:noProof/>
          <w:highlight w:val="yellow"/>
        </w:rPr>
        <w:t>[</w:t>
      </w:r>
      <w:r w:rsidR="00EF5929" w:rsidRPr="00596E45">
        <w:rPr>
          <w:rFonts w:asciiTheme="majorHAnsi" w:hAnsiTheme="majorHAnsi"/>
          <w:iCs/>
          <w:noProof/>
          <w:highlight w:val="yellow"/>
        </w:rPr>
        <w:t>DOPLNÍ PRODÁVAJÍCÍ</w:t>
      </w:r>
      <w:r w:rsidR="00EF5929" w:rsidRPr="006207FB">
        <w:rPr>
          <w:rFonts w:ascii="Verdana" w:hAnsi="Verdana"/>
          <w:highlight w:val="yellow"/>
        </w:rPr>
        <w:t>]</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C7097F">
      <w:headerReference w:type="default" r:id="rId12"/>
      <w:footerReference w:type="default" r:id="rId13"/>
      <w:headerReference w:type="first" r:id="rId14"/>
      <w:footerReference w:type="first" r:id="rId15"/>
      <w:pgSz w:w="11906" w:h="16838" w:code="9"/>
      <w:pgMar w:top="567" w:right="1134" w:bottom="709" w:left="2070" w:header="595" w:footer="3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C5EE199"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82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4826">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4A2C43E7" w14:textId="77777777" w:rsidR="00784F56" w:rsidRDefault="00784F56" w:rsidP="00EF59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18B3EB6A"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8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4826">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4" name="Obráze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356494"/>
    <w:multiLevelType w:val="hybridMultilevel"/>
    <w:tmpl w:val="77B611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9623395">
    <w:abstractNumId w:val="5"/>
  </w:num>
  <w:num w:numId="2" w16cid:durableId="1609704182">
    <w:abstractNumId w:val="1"/>
  </w:num>
  <w:num w:numId="3" w16cid:durableId="625240435">
    <w:abstractNumId w:val="8"/>
  </w:num>
  <w:num w:numId="4" w16cid:durableId="1042367561">
    <w:abstractNumId w:val="23"/>
  </w:num>
  <w:num w:numId="5" w16cid:durableId="212886007">
    <w:abstractNumId w:val="12"/>
  </w:num>
  <w:num w:numId="6" w16cid:durableId="1044864629">
    <w:abstractNumId w:val="9"/>
  </w:num>
  <w:num w:numId="7" w16cid:durableId="447747278">
    <w:abstractNumId w:val="16"/>
  </w:num>
  <w:num w:numId="8" w16cid:durableId="1637292511">
    <w:abstractNumId w:val="22"/>
  </w:num>
  <w:num w:numId="9" w16cid:durableId="1710496172">
    <w:abstractNumId w:val="25"/>
  </w:num>
  <w:num w:numId="10" w16cid:durableId="1387989770">
    <w:abstractNumId w:val="18"/>
  </w:num>
  <w:num w:numId="11" w16cid:durableId="1519807108">
    <w:abstractNumId w:val="12"/>
  </w:num>
  <w:num w:numId="12" w16cid:durableId="836265758">
    <w:abstractNumId w:val="4"/>
  </w:num>
  <w:num w:numId="13" w16cid:durableId="1442797533">
    <w:abstractNumId w:val="12"/>
  </w:num>
  <w:num w:numId="14" w16cid:durableId="1464926875">
    <w:abstractNumId w:val="12"/>
  </w:num>
  <w:num w:numId="15" w16cid:durableId="565065942">
    <w:abstractNumId w:val="12"/>
  </w:num>
  <w:num w:numId="16" w16cid:durableId="238638489">
    <w:abstractNumId w:val="12"/>
  </w:num>
  <w:num w:numId="17" w16cid:durableId="864054394">
    <w:abstractNumId w:val="3"/>
  </w:num>
  <w:num w:numId="18" w16cid:durableId="265117856">
    <w:abstractNumId w:val="0"/>
  </w:num>
  <w:num w:numId="19" w16cid:durableId="1588881035">
    <w:abstractNumId w:val="11"/>
  </w:num>
  <w:num w:numId="20" w16cid:durableId="2048020223">
    <w:abstractNumId w:val="6"/>
  </w:num>
  <w:num w:numId="21" w16cid:durableId="154804709">
    <w:abstractNumId w:val="17"/>
  </w:num>
  <w:num w:numId="22" w16cid:durableId="1967807599">
    <w:abstractNumId w:val="13"/>
  </w:num>
  <w:num w:numId="23" w16cid:durableId="1023477105">
    <w:abstractNumId w:val="24"/>
  </w:num>
  <w:num w:numId="24" w16cid:durableId="1691297807">
    <w:abstractNumId w:val="20"/>
  </w:num>
  <w:num w:numId="25" w16cid:durableId="1870754613">
    <w:abstractNumId w:val="2"/>
  </w:num>
  <w:num w:numId="26" w16cid:durableId="106123940">
    <w:abstractNumId w:val="21"/>
  </w:num>
  <w:num w:numId="27" w16cid:durableId="1991593390">
    <w:abstractNumId w:val="15"/>
  </w:num>
  <w:num w:numId="28" w16cid:durableId="1976522475">
    <w:abstractNumId w:val="14"/>
  </w:num>
  <w:num w:numId="29" w16cid:durableId="1814518114">
    <w:abstractNumId w:val="7"/>
  </w:num>
  <w:num w:numId="30" w16cid:durableId="1423602947">
    <w:abstractNumId w:val="6"/>
  </w:num>
  <w:num w:numId="31" w16cid:durableId="581842807">
    <w:abstractNumId w:val="10"/>
  </w:num>
  <w:num w:numId="32" w16cid:durableId="1193150069">
    <w:abstractNumId w:val="6"/>
  </w:num>
  <w:num w:numId="33" w16cid:durableId="1928072835">
    <w:abstractNumId w:val="6"/>
  </w:num>
  <w:num w:numId="34" w16cid:durableId="278610090">
    <w:abstractNumId w:val="6"/>
  </w:num>
  <w:num w:numId="35" w16cid:durableId="1107651570">
    <w:abstractNumId w:val="6"/>
  </w:num>
  <w:num w:numId="36" w16cid:durableId="1539734273">
    <w:abstractNumId w:val="6"/>
  </w:num>
  <w:num w:numId="37" w16cid:durableId="244917493">
    <w:abstractNumId w:val="6"/>
  </w:num>
  <w:num w:numId="38" w16cid:durableId="1739471008">
    <w:abstractNumId w:val="6"/>
  </w:num>
  <w:num w:numId="39" w16cid:durableId="1746881388">
    <w:abstractNumId w:val="6"/>
  </w:num>
  <w:num w:numId="40" w16cid:durableId="857045902">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A2B06"/>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2651"/>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46745"/>
    <w:rsid w:val="00280E07"/>
    <w:rsid w:val="00285841"/>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10"/>
    <w:rsid w:val="00441430"/>
    <w:rsid w:val="00441A7A"/>
    <w:rsid w:val="004468A2"/>
    <w:rsid w:val="00450F07"/>
    <w:rsid w:val="00453CD3"/>
    <w:rsid w:val="00460272"/>
    <w:rsid w:val="00460660"/>
    <w:rsid w:val="004624A6"/>
    <w:rsid w:val="00483C85"/>
    <w:rsid w:val="004840B9"/>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54ACA"/>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84F56"/>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0DCB"/>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4FCC"/>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C4327"/>
    <w:rsid w:val="00AD056F"/>
    <w:rsid w:val="00AD6731"/>
    <w:rsid w:val="00AE1EA3"/>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720"/>
    <w:rsid w:val="00BE2F45"/>
    <w:rsid w:val="00BE5BC0"/>
    <w:rsid w:val="00BF1A95"/>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097F"/>
    <w:rsid w:val="00C72B6B"/>
    <w:rsid w:val="00C82BF5"/>
    <w:rsid w:val="00C85038"/>
    <w:rsid w:val="00C97707"/>
    <w:rsid w:val="00CA4013"/>
    <w:rsid w:val="00CB3AD5"/>
    <w:rsid w:val="00CC1601"/>
    <w:rsid w:val="00CD16B7"/>
    <w:rsid w:val="00CD1FC4"/>
    <w:rsid w:val="00CD6337"/>
    <w:rsid w:val="00CE7733"/>
    <w:rsid w:val="00CF51DB"/>
    <w:rsid w:val="00D043A4"/>
    <w:rsid w:val="00D126E0"/>
    <w:rsid w:val="00D201FA"/>
    <w:rsid w:val="00D202F8"/>
    <w:rsid w:val="00D21061"/>
    <w:rsid w:val="00D24C92"/>
    <w:rsid w:val="00D33ABD"/>
    <w:rsid w:val="00D36EA8"/>
    <w:rsid w:val="00D37801"/>
    <w:rsid w:val="00D4108E"/>
    <w:rsid w:val="00D46823"/>
    <w:rsid w:val="00D46CC9"/>
    <w:rsid w:val="00D6163D"/>
    <w:rsid w:val="00D617A3"/>
    <w:rsid w:val="00D6524B"/>
    <w:rsid w:val="00D711D1"/>
    <w:rsid w:val="00D77DE5"/>
    <w:rsid w:val="00D831A3"/>
    <w:rsid w:val="00D85C5B"/>
    <w:rsid w:val="00D86AB9"/>
    <w:rsid w:val="00DC41AD"/>
    <w:rsid w:val="00DC75F3"/>
    <w:rsid w:val="00DD46F3"/>
    <w:rsid w:val="00DE56F2"/>
    <w:rsid w:val="00DF116D"/>
    <w:rsid w:val="00E17FE7"/>
    <w:rsid w:val="00E30A6F"/>
    <w:rsid w:val="00E46AF7"/>
    <w:rsid w:val="00E55BA0"/>
    <w:rsid w:val="00E60DBC"/>
    <w:rsid w:val="00E7068E"/>
    <w:rsid w:val="00E964CF"/>
    <w:rsid w:val="00E967DA"/>
    <w:rsid w:val="00EA1DA7"/>
    <w:rsid w:val="00EB104F"/>
    <w:rsid w:val="00EC0CCD"/>
    <w:rsid w:val="00ED14BD"/>
    <w:rsid w:val="00ED3219"/>
    <w:rsid w:val="00EE2021"/>
    <w:rsid w:val="00EF3E59"/>
    <w:rsid w:val="00EF592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3CD0"/>
    <w:rsid w:val="00F659EB"/>
    <w:rsid w:val="00F86BA6"/>
    <w:rsid w:val="00F919AE"/>
    <w:rsid w:val="00FA4826"/>
    <w:rsid w:val="00FB5045"/>
    <w:rsid w:val="00FC6389"/>
    <w:rsid w:val="00FC6B48"/>
    <w:rsid w:val="00FD56DD"/>
    <w:rsid w:val="00FE1B82"/>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Nevyeenzmnka2">
    <w:name w:val="Nevyřešená zmínka2"/>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7C73C74-B087-49D4-9AD4-F4C4B87FAFB2}">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5</Pages>
  <Words>2015</Words>
  <Characters>11889</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46</cp:revision>
  <cp:lastPrinted>2024-08-02T05:16:00Z</cp:lastPrinted>
  <dcterms:created xsi:type="dcterms:W3CDTF">2023-07-10T07:39:00Z</dcterms:created>
  <dcterms:modified xsi:type="dcterms:W3CDTF">2024-08-02T05:16:00Z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